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57" w:rsidRPr="003F4C57" w:rsidRDefault="003F4C57" w:rsidP="003F4C57">
      <w:pPr>
        <w:shd w:val="clear" w:color="auto" w:fill="FFFFFF"/>
        <w:spacing w:after="173" w:line="347" w:lineRule="atLeast"/>
        <w:ind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 w:rsidRPr="003F4C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Объект находится в начальной стадии строительства. На стадии строительства фундаментов.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Проектная Декларация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о проекте строительства Жилой Комплекс «Рыбацкий»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(в составе 3-х 10-этажных жилых домов по ул. 3-я Рыбацкая/2-я Дербентская,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г. Астрахань, Советский район) (адрес строительный)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Редакция от 21/06/2013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Информация о застройщике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1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Фирменное наименование:</w:t>
      </w:r>
      <w:r w:rsidRPr="003F4C57">
        <w:rPr>
          <w:rFonts w:ascii="Arial" w:eastAsia="Times New Roman" w:hAnsi="Arial" w:cs="Arial"/>
          <w:color w:val="000000"/>
          <w:sz w:val="23"/>
        </w:rPr>
        <w:t> </w:t>
      </w:r>
      <w:r w:rsidRPr="003F4C57">
        <w:rPr>
          <w:rFonts w:ascii="Arial" w:eastAsia="Times New Roman" w:hAnsi="Arial" w:cs="Arial"/>
          <w:b/>
          <w:bCs/>
          <w:color w:val="000000"/>
          <w:sz w:val="23"/>
        </w:rPr>
        <w:t>Общество с ограниченной ответственностью </w:t>
      </w:r>
      <w:r w:rsidRPr="003F4C57">
        <w:rPr>
          <w:rFonts w:ascii="Arial" w:eastAsia="Times New Roman" w:hAnsi="Arial" w:cs="Arial"/>
          <w:b/>
          <w:bCs/>
          <w:color w:val="000000"/>
          <w:sz w:val="23"/>
          <w:u w:val="single"/>
        </w:rPr>
        <w:t>«</w:t>
      </w:r>
      <w:proofErr w:type="spellStart"/>
      <w:r w:rsidRPr="003F4C57">
        <w:rPr>
          <w:rFonts w:ascii="Arial" w:eastAsia="Times New Roman" w:hAnsi="Arial" w:cs="Arial"/>
          <w:b/>
          <w:bCs/>
          <w:color w:val="000000"/>
          <w:sz w:val="23"/>
          <w:u w:val="single"/>
        </w:rPr>
        <w:t>Спецстрой</w:t>
      </w:r>
      <w:proofErr w:type="spellEnd"/>
      <w:r w:rsidRPr="003F4C57">
        <w:rPr>
          <w:rFonts w:ascii="Arial" w:eastAsia="Times New Roman" w:hAnsi="Arial" w:cs="Arial"/>
          <w:b/>
          <w:bCs/>
          <w:color w:val="000000"/>
          <w:sz w:val="23"/>
          <w:u w:val="single"/>
        </w:rPr>
        <w:t>-ДТА»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 Место нахождения: 119415, </w:t>
      </w:r>
      <w:r w:rsidRPr="003F4C5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г. Москва, пр-т Вернадского, 39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Почтовый адрес: 119415, г. Москва, Проспект Вернадского 39. Режим работы Застройщика: понедельник-пятница; с </w:t>
      </w:r>
      <w:proofErr w:type="gram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9.00  до</w:t>
      </w:r>
      <w:proofErr w:type="gramEnd"/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 18.00.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2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2.1. Государственная регистрация Застройщика: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КПП 772901001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ИНН 2015039773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Регистрирующий орган: ИФНС России №29 по г. Москве, свидетельство о постановке на учет серия 77 № 014699610 от 15 апреля 2013 года.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3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3.1. Учредители Застройщика: </w:t>
      </w:r>
      <w:proofErr w:type="spell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Мусалаев</w:t>
      </w:r>
      <w:proofErr w:type="spellEnd"/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 Адам </w:t>
      </w:r>
      <w:proofErr w:type="spell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Байсултанович</w:t>
      </w:r>
      <w:proofErr w:type="spellEnd"/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 - единственный участник (100% долей уставного капитала)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Дата регистрации- 16/03/2009 г.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ОГРН-1052021039124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Место нахождения: 119415, г. Москва, пр-т Вернадского, 39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4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4.1. Проекты строительства многоквартирных домов, введенных в эксплуатацию, в которых принимал участие Застройщик</w:t>
      </w:r>
      <w:r w:rsidRPr="003F4C57">
        <w:rPr>
          <w:rFonts w:ascii="Arial" w:eastAsia="Times New Roman" w:hAnsi="Arial" w:cs="Arial"/>
          <w:color w:val="000000"/>
          <w:sz w:val="23"/>
        </w:rPr>
        <w:t> </w:t>
      </w:r>
      <w:r w:rsidRPr="003F4C5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в течении последних трех лет</w:t>
      </w:r>
      <w:r w:rsidRPr="003F4C57">
        <w:rPr>
          <w:rFonts w:ascii="Arial" w:eastAsia="Times New Roman" w:hAnsi="Arial" w:cs="Arial"/>
          <w:color w:val="000000"/>
          <w:sz w:val="23"/>
          <w:szCs w:val="23"/>
        </w:rPr>
        <w:t>: 1. </w:t>
      </w:r>
      <w:r w:rsidRPr="003F4C57">
        <w:rPr>
          <w:rFonts w:ascii="Arial" w:eastAsia="Times New Roman" w:hAnsi="Arial" w:cs="Arial"/>
          <w:b/>
          <w:bCs/>
          <w:color w:val="000000"/>
          <w:sz w:val="23"/>
        </w:rPr>
        <w:t>150 кв. ж/д по ул. Вильямса </w:t>
      </w:r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20 </w:t>
      </w:r>
      <w:proofErr w:type="spell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мкр</w:t>
      </w:r>
      <w:proofErr w:type="spellEnd"/>
      <w:r w:rsidRPr="003F4C57">
        <w:rPr>
          <w:rFonts w:ascii="Arial" w:eastAsia="Times New Roman" w:hAnsi="Arial" w:cs="Arial"/>
          <w:color w:val="000000"/>
          <w:sz w:val="23"/>
          <w:szCs w:val="23"/>
        </w:rPr>
        <w:t>. «</w:t>
      </w:r>
      <w:proofErr w:type="spell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Гайва</w:t>
      </w:r>
      <w:proofErr w:type="spellEnd"/>
      <w:r w:rsidRPr="003F4C57">
        <w:rPr>
          <w:rFonts w:ascii="Arial" w:eastAsia="Times New Roman" w:hAnsi="Arial" w:cs="Arial"/>
          <w:color w:val="000000"/>
          <w:sz w:val="23"/>
          <w:szCs w:val="23"/>
        </w:rPr>
        <w:t>» в г. Пермь. 2.</w:t>
      </w:r>
      <w:r w:rsidRPr="003F4C57">
        <w:rPr>
          <w:rFonts w:ascii="Arial" w:eastAsia="Times New Roman" w:hAnsi="Arial" w:cs="Arial"/>
          <w:color w:val="000000"/>
          <w:sz w:val="23"/>
        </w:rPr>
        <w:t> </w:t>
      </w:r>
      <w:r w:rsidRPr="003F4C57">
        <w:rPr>
          <w:rFonts w:ascii="Arial" w:eastAsia="Times New Roman" w:hAnsi="Arial" w:cs="Arial"/>
          <w:b/>
          <w:bCs/>
          <w:color w:val="000000"/>
          <w:sz w:val="23"/>
        </w:rPr>
        <w:t xml:space="preserve">315 кв. </w:t>
      </w:r>
      <w:r w:rsidRPr="003F4C57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ж/д по ул. Писарева 56</w:t>
      </w:r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мкр</w:t>
      </w:r>
      <w:proofErr w:type="spellEnd"/>
      <w:r w:rsidRPr="003F4C57">
        <w:rPr>
          <w:rFonts w:ascii="Arial" w:eastAsia="Times New Roman" w:hAnsi="Arial" w:cs="Arial"/>
          <w:color w:val="000000"/>
          <w:sz w:val="23"/>
          <w:szCs w:val="23"/>
        </w:rPr>
        <w:t>. «</w:t>
      </w:r>
      <w:proofErr w:type="spell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Гайва</w:t>
      </w:r>
      <w:proofErr w:type="spellEnd"/>
      <w:r w:rsidRPr="003F4C57">
        <w:rPr>
          <w:rFonts w:ascii="Arial" w:eastAsia="Times New Roman" w:hAnsi="Arial" w:cs="Arial"/>
          <w:color w:val="000000"/>
          <w:sz w:val="23"/>
          <w:szCs w:val="23"/>
        </w:rPr>
        <w:t>» в г. Пермь 3.</w:t>
      </w:r>
      <w:r w:rsidRPr="003F4C57">
        <w:rPr>
          <w:rFonts w:ascii="Arial" w:eastAsia="Times New Roman" w:hAnsi="Arial" w:cs="Arial"/>
          <w:color w:val="000000"/>
          <w:sz w:val="23"/>
        </w:rPr>
        <w:t> </w:t>
      </w:r>
      <w:r w:rsidRPr="003F4C57">
        <w:rPr>
          <w:rFonts w:ascii="Arial" w:eastAsia="Times New Roman" w:hAnsi="Arial" w:cs="Arial"/>
          <w:b/>
          <w:bCs/>
          <w:color w:val="000000"/>
          <w:sz w:val="23"/>
        </w:rPr>
        <w:t>126-квартирный ж/д по ул. Октябрьское шоссе 36</w:t>
      </w:r>
      <w:r w:rsidRPr="003F4C57">
        <w:rPr>
          <w:rFonts w:ascii="Arial" w:eastAsia="Times New Roman" w:hAnsi="Arial" w:cs="Arial"/>
          <w:color w:val="000000"/>
          <w:sz w:val="23"/>
          <w:szCs w:val="23"/>
        </w:rPr>
        <w:t>, Ростовская область, г. Волгодонск.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5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5.1. Вид лицензируемой деятельности: свидетельство о допуске к работам, которые оказывают влияние на безопасность объектов капитального строительства.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№ СО-3-11-0254. Регистрационный номер СРО-С-095-02122009 от 08.04.2011 г.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Саморегулируемая организация Некоммерческое партнерство «</w:t>
      </w:r>
      <w:proofErr w:type="spell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Объединенение</w:t>
      </w:r>
      <w:proofErr w:type="spellEnd"/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 строительных организаций среднего и малого бизнеса»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СРО-С-095-02122009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6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6.1. Финансовый результат за 2013 год- прибыль 14.165 </w:t>
      </w:r>
      <w:proofErr w:type="spell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тыс.руб</w:t>
      </w:r>
      <w:proofErr w:type="spellEnd"/>
      <w:r w:rsidRPr="003F4C57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6.2. Размер кредиторской задолженности – 122.864 тыс.руб.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II. Информация о проекте строительства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1</w:t>
      </w:r>
    </w:p>
    <w:p w:rsidR="003F4C57" w:rsidRPr="003F4C57" w:rsidRDefault="003F4C57" w:rsidP="003F4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434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Цель проекта строительства: «Жилой комплекс «Рыбацкий» в г. Астрахани»</w:t>
      </w:r>
    </w:p>
    <w:p w:rsidR="003F4C57" w:rsidRPr="003F4C57" w:rsidRDefault="003F4C57" w:rsidP="003F4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434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 Этапы и сроки реализации проекта строительства: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«Жилой комплекс «Рыбацкий» в г. Астрахани»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Начало строительства-II квартал 2013 г.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Окончание строительства- II квартал 2017 г.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2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2.1. Информация о правах Застройщика на земельный участок: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Отвод земель в постоянное пользование на основании постановления администрации города Астрахани от 15.05.2013 №129 (кадастровые номера земельных участков: 30:12:030054:2038.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2.1.1 Собственник земельного участка: ООО «</w:t>
      </w:r>
      <w:proofErr w:type="spell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Спецстрой</w:t>
      </w:r>
      <w:proofErr w:type="spellEnd"/>
      <w:r w:rsidRPr="003F4C57">
        <w:rPr>
          <w:rFonts w:ascii="Arial" w:eastAsia="Times New Roman" w:hAnsi="Arial" w:cs="Arial"/>
          <w:color w:val="000000"/>
          <w:sz w:val="23"/>
          <w:szCs w:val="23"/>
        </w:rPr>
        <w:t>-ДТА»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2.1.2. Границы земельного участка, предусмотренные проектной документацией: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В административном отношении проектируемая строительная площадка располагается по ул. 3-й Рыбацкой в Советском районе г. Астрахани и граничит: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lastRenderedPageBreak/>
        <w:t>- с северной стороны- с ул. 3-й Рыбацкой;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- с западной стороны с ул. 2-й Дербентской;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- с восточной стороны с ул. Краснодарской;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- с южной стороны- с ул. Автомобильной.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2.1.3. Площадь земельного участка, предусмотренная проектной документацией:19920,0 кв.м.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2.2. Элементы благоустройства, предусмотренные проектной документацией: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2.2.1. Скамьи, детские игровые площадки, малые архитектурные формы, урны.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2.2.2. Гостевые автостоянки, площадки для мусорных контейнеров.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2.2.3. Деревья (лиственных и хвойных пород), </w:t>
      </w:r>
      <w:proofErr w:type="spellStart"/>
      <w:proofErr w:type="gram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кустарник,цветник</w:t>
      </w:r>
      <w:proofErr w:type="gramEnd"/>
      <w:r w:rsidRPr="003F4C57">
        <w:rPr>
          <w:rFonts w:ascii="Arial" w:eastAsia="Times New Roman" w:hAnsi="Arial" w:cs="Arial"/>
          <w:color w:val="000000"/>
          <w:sz w:val="23"/>
          <w:szCs w:val="23"/>
        </w:rPr>
        <w:t>,газон</w:t>
      </w:r>
      <w:proofErr w:type="spellEnd"/>
      <w:r w:rsidRPr="003F4C57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3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3.1. Местоположения строящегося(создаваемого) многоквартирного дома: ул. 3-я Рыбацкая в Советском районе г. Астрахани.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3.2. Описание строящегося(создаваемого) многоквартирного дома в соответствии с проектной документацией, на основании которой выдано разрешение на строительство: «Жилой комплекс «Рыбацкий» в г. Астрахани». Данным проектом предусматривается разработка жилого комплекса, состоящего из трех многоэтажных жилых домов секционного </w:t>
      </w:r>
      <w:proofErr w:type="spell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типа.Первые</w:t>
      </w:r>
      <w:proofErr w:type="spellEnd"/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 этажи домов- технического назначения.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Разрешение на строительство № RU 30301000-50 от 21 июня 2013 г.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Действительно до 21 июня 2017г.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4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4.1. Количество квартир в строящемся многоквартирном доме: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8"/>
          <w:u w:val="single"/>
        </w:rPr>
        <w:t>Дом №1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251"/>
        <w:gridCol w:w="2318"/>
        <w:gridCol w:w="2304"/>
      </w:tblGrid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Тип квартиры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Кол-во квартир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Площадь квартиры, кв.м.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Общая площадь, кв.м.</w:t>
            </w:r>
          </w:p>
        </w:tc>
      </w:tr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Однокомнатные тип 1-А(С-1)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38,08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1370,88</w:t>
            </w:r>
          </w:p>
        </w:tc>
      </w:tr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Однокомнатные тип 1-Б(С-1)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40,56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1460,16</w:t>
            </w:r>
          </w:p>
        </w:tc>
      </w:tr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Однокомнатные тип 1-А(С-3)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41,05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369,45</w:t>
            </w:r>
          </w:p>
        </w:tc>
      </w:tr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Однокомнатные тип 1-Б(С-3)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39,59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356,31</w:t>
            </w:r>
          </w:p>
        </w:tc>
      </w:tr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Однокомнатные тип 1-В(С-3)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43,08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387,72</w:t>
            </w:r>
          </w:p>
        </w:tc>
      </w:tr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Однокомнатные тип 1-Г(С-3)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38,71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348,39</w:t>
            </w:r>
          </w:p>
        </w:tc>
      </w:tr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Однокомнатные тип 1-Д(С-3)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40,79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367,11</w:t>
            </w:r>
          </w:p>
        </w:tc>
      </w:tr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Двухкомнатные тип 2-А(С-1)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63,56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2288,16</w:t>
            </w:r>
          </w:p>
        </w:tc>
      </w:tr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Двухкомнатные тип 2-А(С-3)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62,54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1125,72</w:t>
            </w:r>
          </w:p>
        </w:tc>
      </w:tr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8073,9</w:t>
            </w:r>
          </w:p>
        </w:tc>
      </w:tr>
    </w:tbl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8"/>
          <w:u w:val="single"/>
        </w:rPr>
        <w:t>Дом №2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256"/>
        <w:gridCol w:w="2322"/>
        <w:gridCol w:w="2309"/>
      </w:tblGrid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Тип квартиры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Кол-во квартир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Площадь квартиры, кв.м.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Общая площадь, кв.м.</w:t>
            </w:r>
          </w:p>
        </w:tc>
      </w:tr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Двухкомнатные тип 2-Б(С-2)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61,70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2221,2</w:t>
            </w:r>
          </w:p>
        </w:tc>
      </w:tr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Двухкомнатные тип 3-А(С-2)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82,11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2955,96</w:t>
            </w:r>
          </w:p>
        </w:tc>
      </w:tr>
      <w:tr w:rsidR="003F4C57" w:rsidRPr="003F4C57" w:rsidTr="003F4C57">
        <w:trPr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5177,16</w:t>
            </w:r>
          </w:p>
        </w:tc>
      </w:tr>
    </w:tbl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8"/>
          <w:u w:val="single"/>
        </w:rPr>
        <w:t>Дом №3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2255"/>
        <w:gridCol w:w="2323"/>
        <w:gridCol w:w="2312"/>
      </w:tblGrid>
      <w:tr w:rsidR="003F4C57" w:rsidRPr="003F4C57" w:rsidTr="003F4C57">
        <w:trPr>
          <w:jc w:val="center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Тип квартиры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Кол-во квартир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Площадь квартиры, кв.м.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Общая площадь, кв.м.</w:t>
            </w:r>
          </w:p>
        </w:tc>
      </w:tr>
      <w:tr w:rsidR="003F4C57" w:rsidRPr="003F4C57" w:rsidTr="003F4C57">
        <w:trPr>
          <w:jc w:val="center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Однокомнатные тип 1-А(С-1)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38,08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1370,88</w:t>
            </w:r>
          </w:p>
        </w:tc>
      </w:tr>
      <w:tr w:rsidR="003F4C57" w:rsidRPr="003F4C57" w:rsidTr="003F4C57">
        <w:trPr>
          <w:jc w:val="center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Однокомнатные тип 1-Б(С-1)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40,56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1460,16</w:t>
            </w:r>
          </w:p>
        </w:tc>
      </w:tr>
      <w:tr w:rsidR="003F4C57" w:rsidRPr="003F4C57" w:rsidTr="003F4C57">
        <w:trPr>
          <w:jc w:val="center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Однокомнатные тип 1-А(С-3)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41,05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369,45</w:t>
            </w:r>
          </w:p>
        </w:tc>
      </w:tr>
      <w:tr w:rsidR="003F4C57" w:rsidRPr="003F4C57" w:rsidTr="003F4C57">
        <w:trPr>
          <w:jc w:val="center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Однокомнатные тип 1-Б(С-3)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39,59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356,31</w:t>
            </w:r>
          </w:p>
        </w:tc>
      </w:tr>
      <w:tr w:rsidR="003F4C57" w:rsidRPr="003F4C57" w:rsidTr="003F4C57">
        <w:trPr>
          <w:jc w:val="center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Однокомнатные тип 1-В(С-3)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43,08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387,72</w:t>
            </w:r>
          </w:p>
        </w:tc>
      </w:tr>
      <w:tr w:rsidR="003F4C57" w:rsidRPr="003F4C57" w:rsidTr="003F4C57">
        <w:trPr>
          <w:jc w:val="center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Однокомнатные тип 1-Г(С-3)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38,71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348,39</w:t>
            </w:r>
          </w:p>
        </w:tc>
      </w:tr>
      <w:tr w:rsidR="003F4C57" w:rsidRPr="003F4C57" w:rsidTr="003F4C57">
        <w:trPr>
          <w:jc w:val="center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Однокомнатные тип 1-Д(С-3)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40,79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367,11</w:t>
            </w:r>
          </w:p>
        </w:tc>
      </w:tr>
      <w:tr w:rsidR="003F4C57" w:rsidRPr="003F4C57" w:rsidTr="003F4C57">
        <w:trPr>
          <w:jc w:val="center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Двухкомнатные тип 2-А(С-1)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63,56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2288,16</w:t>
            </w:r>
          </w:p>
        </w:tc>
      </w:tr>
      <w:tr w:rsidR="003F4C57" w:rsidRPr="003F4C57" w:rsidTr="003F4C57">
        <w:trPr>
          <w:jc w:val="center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Двухкомнатные тип 2-А(С-3)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62,54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1125,72</w:t>
            </w:r>
          </w:p>
        </w:tc>
      </w:tr>
      <w:tr w:rsidR="003F4C57" w:rsidRPr="003F4C57" w:rsidTr="003F4C57">
        <w:trPr>
          <w:jc w:val="center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8073,9</w:t>
            </w:r>
          </w:p>
        </w:tc>
      </w:tr>
    </w:tbl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4.2. Описание и технические характеристики квартир: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8"/>
        </w:rPr>
        <w:t>1</w:t>
      </w:r>
      <w:r w:rsidRPr="003F4C57">
        <w:rPr>
          <w:rFonts w:ascii="Arial" w:eastAsia="Times New Roman" w:hAnsi="Arial" w:cs="Arial"/>
          <w:b/>
          <w:bCs/>
          <w:color w:val="000000"/>
          <w:sz w:val="28"/>
          <w:u w:val="single"/>
        </w:rPr>
        <w:t>-комнатные - 234 шт.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8"/>
          <w:u w:val="single"/>
        </w:rPr>
        <w:t>2-комнатные - 108 шт.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8"/>
          <w:u w:val="single"/>
        </w:rPr>
        <w:t>3-комнатные - 72 шт.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Квартиры сдаются с социальной отделкой с выполнением следующих работ: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322"/>
        <w:gridCol w:w="4718"/>
      </w:tblGrid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Полы: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а) вестибюлях, межквартирных коридорах, лестнично-лифтовых узлах, технических помещениях, лоджиях и балконах, санузлах, ванных комнатах;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устройство покрытия из керамической плитки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б) в жилых помещениях, кухнях, прихожих и коридорах;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устройство покрытия из линолеума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устройство плинтусов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Потолки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а) по всей квартире, включая лоджию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окраска потолка акриловой краской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Стены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а) наружные стены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многослойная конструкция на гибких связях: наружная верста- силикатный лицевой кирпич СУЛ 200/35 ГОСТ 379-95 толщиной 120мм на цементно-песчаном растворе М75; внутренняя верста- газобетонный блок по ГОСТ 21520-89 IV-</w:t>
            </w:r>
            <w:r w:rsidRPr="003F4C5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B2,5D400F35-1, теплопроводность 0,14 Вт/м С, толщиной 200мм. Утеплитель- плиты пенополистирольные по ГОСТ 15588-86 плотностью у=25 кг/м3, </w:t>
            </w:r>
            <w:proofErr w:type="gramStart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gramEnd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=0,039 Вт/м С, толщиной 100 мм. В уровне перекрытия по периметру здания и по контуру </w:t>
            </w:r>
            <w:proofErr w:type="gramStart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окон ,</w:t>
            </w:r>
            <w:proofErr w:type="gramEnd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 дверей выполнить противопожарные рассечки из жестких </w:t>
            </w:r>
            <w:proofErr w:type="spellStart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минераловатных</w:t>
            </w:r>
            <w:proofErr w:type="spellEnd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 плит на синтетическом связующем по ГОСТ 9573-96 плотностью q=125кг/м3, А=0,042Вт/м С, шириной 150м.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б) ограждение лоджий и балконов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кирпичная кладка высотой 0,9 м и металлическое высотой 0,3 м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в) перегородки: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- в квартирах- гипсовые </w:t>
            </w:r>
            <w:proofErr w:type="spellStart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пазогребневые</w:t>
            </w:r>
            <w:proofErr w:type="spellEnd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поиты</w:t>
            </w:r>
            <w:proofErr w:type="spellEnd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 по ГОСТ 6428-83 толщиной 80мм;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между квартирные- газобетонный блок по гост 21520-89 IV-B2,5D400F35-1, теплопроводность 0,14 Вт/м С, толщиной 250мм.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- в санузлах и ванных- кирпичные </w:t>
            </w:r>
            <w:proofErr w:type="spellStart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КОРПо</w:t>
            </w:r>
            <w:proofErr w:type="spellEnd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 1НФ/100/2.0/50/ГОСТ 530-2007, толщиной 120 мм на цементно-песчаном растворе М50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г) ванны и совмещенные санузлы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панели из глазурованной керамической плитки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д) кухни и санузлы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в кухнях-панели из глазурованной керамической плитки на высоту 0,6 м, выше- оклейка обоями;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в санузлах- панели из глазурованной керамической плитки;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е) </w:t>
            </w:r>
            <w:proofErr w:type="spellStart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внеквартирные</w:t>
            </w:r>
            <w:proofErr w:type="spellEnd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 коридоры, вестибюли, тамбуры, лифтовые холлы и технические помещения, лестничные клетки, общие коридоры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акриловая окраска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ж) стены жилых комнат квартир, внутриквартирных коридоров, прихожих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оклейка обоями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Крыша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Плоская с организованным внутренним водостоком, кровля-рулонная плоская, совмещенная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Проемы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-входная дверь- металлическая утепленная;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-внутренние дверные блоки с дверными ручками;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-установка наличников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Окна из ПВХ - профиля с двухкамерным стеклопакетом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Сантехнические работы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установка унитаза с крышкой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установка умывальника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установка ванн со смесителем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-установка </w:t>
            </w:r>
            <w:proofErr w:type="spellStart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полотенцесушителя</w:t>
            </w:r>
            <w:proofErr w:type="spellEnd"/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установка мойки со смесителем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разводка трубопроводов ХВС, ГВС и канализации, установка счетчиков ХВС, ГВС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-установка вентиляционных решеток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- подключение проборов </w:t>
            </w:r>
            <w:proofErr w:type="gramStart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к  системам</w:t>
            </w:r>
            <w:proofErr w:type="gramEnd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 ХВС, ГВС и канализации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Вентиляция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- приточно-вытяжная с естественным </w:t>
            </w:r>
            <w:proofErr w:type="gramStart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побуждением .</w:t>
            </w:r>
            <w:proofErr w:type="gramEnd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 воздух удаляется из верхней зоны кухонь, санузлов, ванных комнат через каналы в стенах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установка одно-двух клавишных выключателей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установка розеток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установка плафонов (санузел, ванная</w:t>
            </w:r>
            <w:proofErr w:type="gramStart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>) ,</w:t>
            </w:r>
            <w:proofErr w:type="gramEnd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патронов(кухня, прихожая), подвесной крюк и выпуск проводки(комнаты, коридор, кладовая)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-установка электрического щита с счетчиком и </w:t>
            </w:r>
            <w:proofErr w:type="gramStart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автоматами(</w:t>
            </w:r>
            <w:proofErr w:type="gramEnd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 проектом: в квартире либо </w:t>
            </w:r>
            <w:proofErr w:type="spellStart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>общеплощадачном</w:t>
            </w:r>
            <w:proofErr w:type="spellEnd"/>
            <w:r w:rsidRPr="003F4C57">
              <w:rPr>
                <w:rFonts w:ascii="Arial" w:eastAsia="Times New Roman" w:hAnsi="Arial" w:cs="Arial"/>
                <w:sz w:val="24"/>
                <w:szCs w:val="24"/>
              </w:rPr>
              <w:t xml:space="preserve"> щите)</w:t>
            </w:r>
          </w:p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 устройство электрической проводки в квартире</w:t>
            </w:r>
          </w:p>
        </w:tc>
      </w:tr>
      <w:tr w:rsidR="003F4C57" w:rsidRPr="003F4C57" w:rsidTr="003F4C57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57" w:rsidRPr="003F4C57" w:rsidRDefault="003F4C57" w:rsidP="003F4C57">
            <w:pPr>
              <w:spacing w:after="173" w:line="240" w:lineRule="auto"/>
              <w:ind w:firstLine="3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C57">
              <w:rPr>
                <w:rFonts w:ascii="Arial" w:eastAsia="Times New Roman" w:hAnsi="Arial" w:cs="Arial"/>
                <w:sz w:val="24"/>
                <w:szCs w:val="24"/>
              </w:rPr>
              <w:t>-телевидение, телефон, выполняются до этажного распределительного устройства без ввода в квартиру</w:t>
            </w:r>
          </w:p>
        </w:tc>
      </w:tr>
    </w:tbl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5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5.1. Состав общего имущества в многоквартирном доме, которое будет находиться в общей долевой собственности участников долевого строительства: земельный участок кадастровый номер участка30:12:030054:2038, площадью 19920,0 кв.м, расположенный по адресу: г. Астрахань, Советский район, ул. 3-я Рыбацкая; межквартирные лестничные площадки, лестницы, лифтовые холлы, лифты, лифтовые шахты, мусоропровод, коридоры, технический этаж, крыша, ограждающие несущие и ненесущие конструкции данного дома, механическое, электрическое, санитарно-техническое оборудование, находящееся в данном доме за пределами или внутри помещений и обслуживающее более одного помещения в данном доме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  <w:proofErr w:type="spell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электрощитовая</w:t>
      </w:r>
      <w:proofErr w:type="spellEnd"/>
      <w:r w:rsidRPr="003F4C57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6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6.1. Предполагаемый срок получения разрешения на ввод в эксплуатацию строящегося многоквартирного дома: II квартал 2017 года.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6.2. Приемка объекта в эксплуатацию будет осуществляться в соответствии со ст. 55 Градостроительного кодекса РФ с участием представителей органов государственного надзора и организаций, эксплуатирующих инженерно-технические коммуникации.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7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7.1. Возможные финансовые риски при осуществлении проекта строительства: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Невыполнение обязательств по перечислению денежных средств.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7.1.2. Меры по добровольному страхованию таких рисков: </w:t>
      </w:r>
      <w:proofErr w:type="gram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Банковская гарантия</w:t>
      </w:r>
      <w:proofErr w:type="gramEnd"/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 предоставляемая Застройщиком.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7.2. Планируемая стоимость строительства многоквартирного дома-  1.102.311,51 тыс.руб.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8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8.1. Перечень организаций, осуществляющих основные строительно-монтажные и другие работы(подрядчиков):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Генеральный подрядчик: ООО «</w:t>
      </w:r>
      <w:proofErr w:type="spellStart"/>
      <w:r w:rsidRPr="003F4C57">
        <w:rPr>
          <w:rFonts w:ascii="Arial" w:eastAsia="Times New Roman" w:hAnsi="Arial" w:cs="Arial"/>
          <w:b/>
          <w:bCs/>
          <w:color w:val="000000"/>
          <w:sz w:val="23"/>
          <w:u w:val="single"/>
        </w:rPr>
        <w:t>Спецстрой</w:t>
      </w:r>
      <w:proofErr w:type="spellEnd"/>
      <w:r w:rsidRPr="003F4C57">
        <w:rPr>
          <w:rFonts w:ascii="Arial" w:eastAsia="Times New Roman" w:hAnsi="Arial" w:cs="Arial"/>
          <w:b/>
          <w:bCs/>
          <w:color w:val="000000"/>
          <w:sz w:val="23"/>
          <w:u w:val="single"/>
        </w:rPr>
        <w:t>-ДТА»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  <w:u w:val="single"/>
        </w:rPr>
        <w:t>Юридический адрес: 119415, г. Москва, пр-т Вернадского, 39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ОГРН-1052021039124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ИНН 2015039773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КПП 772901001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lastRenderedPageBreak/>
        <w:t>Свидетельство о допуске к работам, которые оказывают влияние на безопасность объектов капитального строительства. Серия СМ №0000251. Регистрационный номер СО-1-09-0254 от 25.12.2009г. Саморегулируемая организация Некоммерческое партнерство «Объединение строительных организаций среднего и малого бизнеса» СРО-С-095-02122009.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9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9.1. Способ обеспечения исполнения обязательств Застройщика по договору участия в долевом строительстве: Залог в порядке, предусмотренном статьями 13-15 Федерального закона от 30.12.2004 г. №214-Ф3 в редакции федерального закона 18.07.2006г.  №111-ФЗ.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10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10.1. Иные, кроме договоров долевого участия, договоры, на основании которых привлекались денежные средства на строительство дома нет.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3"/>
        </w:rPr>
        <w:t>Раздел 11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 xml:space="preserve">11.1. Положительное заключение государственной экспертизы № 30-1-5-0069-13 получено 18 июня 2013 </w:t>
      </w:r>
      <w:proofErr w:type="gramStart"/>
      <w:r w:rsidRPr="003F4C57">
        <w:rPr>
          <w:rFonts w:ascii="Arial" w:eastAsia="Times New Roman" w:hAnsi="Arial" w:cs="Arial"/>
          <w:color w:val="000000"/>
          <w:sz w:val="23"/>
          <w:szCs w:val="23"/>
        </w:rPr>
        <w:t>г..</w:t>
      </w:r>
      <w:proofErr w:type="gramEnd"/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b/>
          <w:bCs/>
          <w:color w:val="000000"/>
          <w:sz w:val="28"/>
        </w:rPr>
        <w:t>Директор ООО «Спецстрой-</w:t>
      </w:r>
      <w:proofErr w:type="gramStart"/>
      <w:r w:rsidRPr="003F4C57">
        <w:rPr>
          <w:rFonts w:ascii="Arial" w:eastAsia="Times New Roman" w:hAnsi="Arial" w:cs="Arial"/>
          <w:b/>
          <w:bCs/>
          <w:color w:val="000000"/>
          <w:sz w:val="28"/>
        </w:rPr>
        <w:t>ДТА»   </w:t>
      </w:r>
      <w:proofErr w:type="gramEnd"/>
      <w:r w:rsidRPr="003F4C57">
        <w:rPr>
          <w:rFonts w:ascii="Arial" w:eastAsia="Times New Roman" w:hAnsi="Arial" w:cs="Arial"/>
          <w:b/>
          <w:bCs/>
          <w:color w:val="000000"/>
          <w:sz w:val="28"/>
        </w:rPr>
        <w:t xml:space="preserve">                                                                            А.Б. </w:t>
      </w:r>
      <w:proofErr w:type="spellStart"/>
      <w:r w:rsidRPr="003F4C57">
        <w:rPr>
          <w:rFonts w:ascii="Arial" w:eastAsia="Times New Roman" w:hAnsi="Arial" w:cs="Arial"/>
          <w:b/>
          <w:bCs/>
          <w:color w:val="000000"/>
          <w:sz w:val="28"/>
        </w:rPr>
        <w:t>Мусалаев</w:t>
      </w:r>
      <w:proofErr w:type="spellEnd"/>
    </w:p>
    <w:p w:rsidR="003F4C57" w:rsidRPr="003F4C57" w:rsidRDefault="003F4C57" w:rsidP="003F4C57">
      <w:pPr>
        <w:shd w:val="clear" w:color="auto" w:fill="FFFFFF"/>
        <w:spacing w:after="173" w:line="347" w:lineRule="atLeast"/>
        <w:ind w:left="360" w:firstLine="347"/>
        <w:rPr>
          <w:rFonts w:ascii="Arial" w:eastAsia="Times New Roman" w:hAnsi="Arial" w:cs="Arial"/>
          <w:color w:val="000000"/>
          <w:sz w:val="23"/>
          <w:szCs w:val="23"/>
        </w:rPr>
      </w:pPr>
      <w:r w:rsidRPr="003F4C57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66D6F" w:rsidRDefault="00366D6F"/>
    <w:sectPr w:rsidR="00366D6F" w:rsidSect="0036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1105F"/>
    <w:multiLevelType w:val="multilevel"/>
    <w:tmpl w:val="D4EC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57"/>
    <w:rsid w:val="00164B33"/>
    <w:rsid w:val="00366D6F"/>
    <w:rsid w:val="003F4C57"/>
    <w:rsid w:val="004F2087"/>
    <w:rsid w:val="00A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47475-2611-4534-B893-F368C39E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4C57"/>
    <w:rPr>
      <w:b/>
      <w:bCs/>
    </w:rPr>
  </w:style>
  <w:style w:type="character" w:customStyle="1" w:styleId="apple-converted-space">
    <w:name w:val="apple-converted-space"/>
    <w:basedOn w:val="a0"/>
    <w:rsid w:val="003F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Андросов</dc:creator>
  <cp:lastModifiedBy>Скоробогатова Светлана Владимировна</cp:lastModifiedBy>
  <cp:revision>2</cp:revision>
  <dcterms:created xsi:type="dcterms:W3CDTF">2017-07-20T09:24:00Z</dcterms:created>
  <dcterms:modified xsi:type="dcterms:W3CDTF">2017-07-20T09:24:00Z</dcterms:modified>
</cp:coreProperties>
</file>